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 xml:space="preserve">ведущим личное подсобное хозяйство и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применяющим специальный налоговый режим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«Налог на профессиональный доход»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>затрат, на приобретение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технологического оборудования для животноводства, птицеводства, а также переработки животноводческой продукции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98"/>
        <w:gridCol w:w="5440"/>
      </w:tblGrid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 (город)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 (№, когда, кем выдан)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5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559"/>
        <w:gridCol w:w="1560"/>
        <w:gridCol w:w="1357"/>
        <w:gridCol w:w="1122"/>
        <w:gridCol w:w="1260"/>
        <w:gridCol w:w="1119"/>
        <w:gridCol w:w="1679"/>
      </w:tblGrid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оборудования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(ед.)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гр.5 = </w:t>
              <w:br/>
              <w:t>гр.3×гр.4/100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Макси-мальный размер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>
              <w:rPr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100 000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left" w:pos="3408" w:leader="none"/>
        </w:tabs>
        <w:ind w:left="560" w:hanging="0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личное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подсобное хозяйство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5.9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LibreOffice/7.4.3.2$Windows_X86_64 LibreOffice_project/1048a8393ae2eeec98dff31b5c133c5f1d08b890</Application>
  <AppVersion>15.0000</AppVersion>
  <Pages>1</Pages>
  <Words>184</Words>
  <Characters>1391</Characters>
  <CharactersWithSpaces>1833</CharactersWithSpaces>
  <Paragraphs>65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2024-09-20T09:18:51Z</dcterms:modified>
  <cp:revision>21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